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198554E4" w:rsidR="006B5B76" w:rsidRDefault="00394682" w:rsidP="00394682">
      <w:pPr>
        <w:rPr>
          <w:b/>
          <w:bCs/>
        </w:rPr>
      </w:pPr>
      <w:r>
        <w:rPr>
          <w:b/>
          <w:bCs/>
        </w:rPr>
        <w:t xml:space="preserve">Apel </w:t>
      </w:r>
      <w:r w:rsidR="003B39BE">
        <w:rPr>
          <w:b/>
          <w:bCs/>
        </w:rPr>
        <w:t>3</w:t>
      </w:r>
    </w:p>
    <w:p w14:paraId="7B7353F1" w14:textId="10FE09E1" w:rsidR="00BE2B6D" w:rsidRPr="00C1379F" w:rsidRDefault="00BE2B6D" w:rsidP="00BE2B6D">
      <w:pPr>
        <w:jc w:val="right"/>
        <w:rPr>
          <w:b/>
          <w:bCs/>
        </w:rPr>
      </w:pPr>
      <w:r w:rsidRPr="00C1379F">
        <w:rPr>
          <w:b/>
          <w:bCs/>
        </w:rPr>
        <w:t xml:space="preserve">ANEXA </w:t>
      </w:r>
      <w:r w:rsidR="006B5B76">
        <w:rPr>
          <w:b/>
          <w:bCs/>
        </w:rPr>
        <w:t>4a</w:t>
      </w: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A9098D0" w14:textId="7CCDC3EB"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w:t>
      </w:r>
      <w:r w:rsidRPr="00365695">
        <w:t xml:space="preserve"> nu se află în stare de faliment/ insolvență sau face obiectul unei proceduri de lichidare sau de administrare judiciară, </w:t>
      </w:r>
      <w:r>
        <w:t xml:space="preserve">nu </w:t>
      </w:r>
      <w:r w:rsidRPr="00365695">
        <w:t>a încheiat acorduri cu creditorii (în proced</w:t>
      </w:r>
      <w:r>
        <w:t>urile anterior menţionate), nu şi-a</w:t>
      </w:r>
      <w:r w:rsidRPr="00365695">
        <w:t xml:space="preserve"> suspendat activitatea economică</w:t>
      </w:r>
      <w:r>
        <w:t xml:space="preserve"> la data depunerii cererii de finațare si ulterior, nu</w:t>
      </w:r>
      <w:r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5BC918C9" w14:textId="04CC4C61"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 xml:space="preserve">) </w:t>
      </w:r>
      <w:r w:rsidRPr="00365695">
        <w:t>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t xml:space="preserve">b. [doar pentru întreprinderi care au, la data declarației, cel puțin 3 ani de la înființare] în cazul unei societăți comerciale în care cel puțin unii dintre asociați au răspundere nelimitată pentru </w:t>
      </w:r>
      <w:r w:rsidRPr="00365695">
        <w:lastRenderedPageBreak/>
        <w:t>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77777777" w:rsidR="0041612D" w:rsidRDefault="0041612D" w:rsidP="0041612D">
      <w:pPr>
        <w:spacing w:before="120"/>
        <w:jc w:val="both"/>
      </w:pPr>
      <w:r>
        <w:t xml:space="preserve">- </w:t>
      </w:r>
      <w:r w:rsidRPr="0041612D">
        <w:t>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641A2AFB" w14:textId="77777777" w:rsidR="0060174A" w:rsidRPr="00365695" w:rsidRDefault="0060174A" w:rsidP="0060174A">
      <w:pPr>
        <w:jc w:val="both"/>
      </w:pPr>
    </w:p>
    <w:p w14:paraId="5AEFBAAB" w14:textId="77777777" w:rsidR="0060174A" w:rsidRPr="00365695" w:rsidRDefault="0060174A" w:rsidP="0060174A">
      <w:pPr>
        <w:jc w:val="both"/>
      </w:pPr>
      <w:r w:rsidRPr="00F9392C">
        <w:rPr>
          <w:b/>
          <w:u w:val="single"/>
        </w:rPr>
        <w:t>3.</w:t>
      </w:r>
      <w:r w:rsidRPr="0099359B">
        <w:rPr>
          <w:b/>
        </w:rPr>
        <w:tab/>
      </w:r>
      <w:r w:rsidRPr="004B0B92">
        <w:rPr>
          <w:u w:val="single"/>
        </w:rPr>
        <w:t>Imobilul</w:t>
      </w:r>
      <w:r>
        <w:rPr>
          <w:u w:val="single"/>
        </w:rPr>
        <w:t>/infrastructura situat/ă la adresa _______________________________________________________________________________________________________________________________________</w:t>
      </w:r>
      <w:r w:rsidRPr="00365695">
        <w:t xml:space="preserve"> care face obiectul </w:t>
      </w:r>
      <w:r w:rsidRPr="00365695">
        <w:lastRenderedPageBreak/>
        <w:t>proiectului propus prin prezenta Cerere de finanțare, începând cu data depunerii cererii de finanțare, îndeplinește cumulativ următoarele condiții:</w:t>
      </w:r>
    </w:p>
    <w:p w14:paraId="39D92A02" w14:textId="77777777" w:rsidR="0060174A" w:rsidRPr="00365695" w:rsidRDefault="0060174A" w:rsidP="0060174A">
      <w:pPr>
        <w:jc w:val="both"/>
      </w:pPr>
      <w:r w:rsidRPr="00365695">
        <w:t>a.</w:t>
      </w:r>
      <w:r w:rsidRPr="00365695">
        <w:tab/>
        <w:t>este liber</w:t>
      </w:r>
      <w:r>
        <w:t>/ă</w:t>
      </w:r>
      <w:r w:rsidRPr="00365695">
        <w:t xml:space="preserve"> de orice sarcini sau interdicții ce afectează implementarea operațiunii ;</w:t>
      </w:r>
    </w:p>
    <w:p w14:paraId="5B2D5A2E" w14:textId="77777777" w:rsidR="0060174A" w:rsidRPr="00365695" w:rsidRDefault="0060174A" w:rsidP="0060174A">
      <w:pPr>
        <w:jc w:val="both"/>
      </w:pPr>
      <w:r w:rsidRPr="00365695">
        <w:t>b.</w:t>
      </w:r>
      <w:r w:rsidRPr="00365695">
        <w:tab/>
        <w:t>nu face obiectul unor litigii având ca obiect dreptul invocat de către solicitant pentru realizarea proiectului, aflate în curs de soluționare la instanțele judecătorești;</w:t>
      </w:r>
    </w:p>
    <w:p w14:paraId="75E96D2D" w14:textId="77777777" w:rsidR="0060174A" w:rsidRPr="00365695" w:rsidRDefault="0060174A" w:rsidP="0060174A">
      <w:pPr>
        <w:jc w:val="both"/>
      </w:pPr>
      <w:r w:rsidRPr="00365695">
        <w:t>c.</w:t>
      </w:r>
      <w:r w:rsidRPr="00365695">
        <w:tab/>
        <w:t>nu face obiectul revendicărilor potrivit unor legi speciale în materie sau dreptului comun.</w:t>
      </w:r>
    </w:p>
    <w:p w14:paraId="170E48B8" w14:textId="77777777" w:rsidR="0060174A" w:rsidRPr="00365695" w:rsidRDefault="0060174A" w:rsidP="0060174A">
      <w:pPr>
        <w:jc w:val="both"/>
      </w:pPr>
    </w:p>
    <w:p w14:paraId="1A086794" w14:textId="77777777" w:rsidR="0060174A" w:rsidRDefault="0060174A" w:rsidP="0060174A">
      <w:pPr>
        <w:jc w:val="both"/>
      </w:pPr>
      <w:r w:rsidRPr="00F9392C">
        <w:rPr>
          <w:b/>
          <w:u w:val="single"/>
        </w:rPr>
        <w:t>4.</w:t>
      </w:r>
      <w:r w:rsidRPr="0099359B">
        <w:rPr>
          <w:b/>
        </w:rPr>
        <w:tab/>
      </w:r>
      <w:r w:rsidRPr="00365695">
        <w:t>Proiectul propus prin prezenta cerere de finanțare nu a mai beneficiat de finanțare publică în ultimii 5 ani înainte de data depunerii Cererii de finanțare, pentru același tip de activități realizate asupra aceleiași infrastructuri/aceluiași segment de infrastructură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77777777" w:rsidR="0060174A" w:rsidRDefault="0060174A" w:rsidP="0060174A">
      <w:pPr>
        <w:jc w:val="both"/>
      </w:pPr>
      <w:r w:rsidRPr="00F9392C">
        <w:rPr>
          <w:b/>
          <w:u w:val="single"/>
        </w:rPr>
        <w:t>5.</w:t>
      </w:r>
      <w:r w:rsidRPr="0099359B">
        <w:rPr>
          <w:b/>
        </w:rPr>
        <w:tab/>
      </w:r>
      <w:r w:rsidRPr="00365695">
        <w:t>Ca reprezentant legal al instituţiei mă angajez să nu furnizez informaţii incorecte  care pot genera inducerea în eroare a Organismului Intermediar (OI) şi a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77777777" w:rsidR="0060174A" w:rsidRDefault="0060174A" w:rsidP="0060174A">
      <w:pPr>
        <w:jc w:val="both"/>
      </w:pPr>
      <w:r w:rsidRPr="00F9392C">
        <w:rPr>
          <w:b/>
          <w:u w:val="single"/>
        </w:rPr>
        <w:t>6.</w:t>
      </w:r>
      <w:r w:rsidRPr="0099359B">
        <w:rPr>
          <w:b/>
        </w:rPr>
        <w:tab/>
      </w:r>
      <w:r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0A0D803B" w:rsidR="00166B83" w:rsidRPr="00955A68" w:rsidRDefault="00166B83" w:rsidP="00166B83">
      <w:pPr>
        <w:autoSpaceDE w:val="0"/>
        <w:autoSpaceDN w:val="0"/>
        <w:adjustRightInd w:val="0"/>
        <w:spacing w:line="276" w:lineRule="auto"/>
        <w:jc w:val="both"/>
      </w:pPr>
      <w:r>
        <w:rPr>
          <w:b/>
          <w:u w:val="single"/>
        </w:rPr>
        <w:t>7</w:t>
      </w:r>
      <w:r w:rsidRPr="00F9392C">
        <w:rPr>
          <w:b/>
          <w:u w:val="single"/>
        </w:rPr>
        <w:t>.</w:t>
      </w:r>
      <w:r>
        <w:rPr>
          <w:b/>
          <w:u w:val="single"/>
        </w:rPr>
        <w:t xml:space="preserve"> </w:t>
      </w:r>
      <w:r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0BD7C21F" w:rsidR="00166B83" w:rsidRPr="00955A68" w:rsidRDefault="00166B83" w:rsidP="00166B83">
      <w:pPr>
        <w:autoSpaceDE w:val="0"/>
        <w:autoSpaceDN w:val="0"/>
        <w:adjustRightInd w:val="0"/>
        <w:spacing w:line="276" w:lineRule="auto"/>
        <w:jc w:val="both"/>
      </w:pPr>
      <w:r>
        <w:rPr>
          <w:b/>
          <w:u w:val="single"/>
        </w:rPr>
        <w:t>8</w:t>
      </w:r>
      <w:r w:rsidRPr="00F9392C">
        <w:rPr>
          <w:b/>
          <w:u w:val="single"/>
        </w:rPr>
        <w:t>.</w:t>
      </w:r>
      <w:r>
        <w:t xml:space="preserve"> </w:t>
      </w:r>
      <w:r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471144F6" w:rsidR="00D6532C" w:rsidRPr="00955A68" w:rsidRDefault="00D6532C" w:rsidP="00500C90">
      <w:pPr>
        <w:autoSpaceDE w:val="0"/>
        <w:autoSpaceDN w:val="0"/>
        <w:adjustRightInd w:val="0"/>
        <w:spacing w:line="276" w:lineRule="auto"/>
        <w:jc w:val="both"/>
      </w:pPr>
      <w:r>
        <w:rPr>
          <w:b/>
          <w:u w:val="single"/>
        </w:rPr>
        <w:t>9</w:t>
      </w:r>
      <w:r w:rsidRPr="00F9392C">
        <w:rPr>
          <w:b/>
          <w:u w:val="single"/>
        </w:rPr>
        <w:t>.</w:t>
      </w:r>
      <w:r>
        <w:rPr>
          <w:b/>
          <w:u w:val="single"/>
        </w:rPr>
        <w:t xml:space="preserve"> </w:t>
      </w:r>
      <w:r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0826498D" w:rsidR="00D6532C" w:rsidRDefault="00D6532C" w:rsidP="00500C90">
      <w:pPr>
        <w:autoSpaceDE w:val="0"/>
        <w:autoSpaceDN w:val="0"/>
        <w:adjustRightInd w:val="0"/>
        <w:spacing w:line="276" w:lineRule="auto"/>
        <w:jc w:val="both"/>
      </w:pPr>
      <w:r>
        <w:rPr>
          <w:b/>
          <w:u w:val="single"/>
        </w:rPr>
        <w:t>10</w:t>
      </w:r>
      <w:r w:rsidRPr="00F9392C">
        <w:rPr>
          <w:b/>
          <w:u w:val="single"/>
        </w:rPr>
        <w:t>.</w:t>
      </w:r>
      <w:r>
        <w:rPr>
          <w:b/>
          <w:u w:val="single"/>
        </w:rPr>
        <w:t xml:space="preserve"> </w:t>
      </w:r>
      <w:r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57E4A3AC" w:rsidR="0060174A" w:rsidRDefault="00D6532C" w:rsidP="00D6532C">
      <w:pPr>
        <w:jc w:val="both"/>
      </w:pPr>
      <w:r>
        <w:rPr>
          <w:b/>
          <w:u w:val="single"/>
        </w:rPr>
        <w:t>11</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w:t>
      </w:r>
      <w:r w:rsidRPr="00457226">
        <w:lastRenderedPageBreak/>
        <w:t xml:space="preserve">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0BC12452" w14:textId="77777777" w:rsidR="00BE2B6D" w:rsidRPr="00C1379F" w:rsidRDefault="00BE2B6D" w:rsidP="00BE2B6D">
      <w:pPr>
        <w:autoSpaceDE w:val="0"/>
        <w:autoSpaceDN w:val="0"/>
        <w:adjustRightInd w:val="0"/>
        <w:spacing w:line="276" w:lineRule="auto"/>
        <w:jc w:val="both"/>
        <w:rPr>
          <w:i/>
          <w:iCs/>
          <w:sz w:val="21"/>
          <w:szCs w:val="21"/>
        </w:rPr>
      </w:pPr>
      <w:r w:rsidRPr="00C1379F">
        <w:rPr>
          <w:sz w:val="18"/>
          <w:szCs w:val="18"/>
        </w:rPr>
        <w:t>*) Se va completa cu majuscule şi fără abrevieri</w:t>
      </w:r>
    </w:p>
    <w:p w14:paraId="0B9B0C8C" w14:textId="77777777" w:rsidR="00BE2B6D" w:rsidRPr="00C1379F" w:rsidRDefault="00BE2B6D" w:rsidP="00BE2B6D">
      <w:pPr>
        <w:pStyle w:val="FootnoteText"/>
        <w:rPr>
          <w:sz w:val="24"/>
          <w:szCs w:val="24"/>
        </w:rPr>
      </w:pPr>
    </w:p>
    <w:p w14:paraId="563D1785" w14:textId="77777777" w:rsidR="0019101E" w:rsidRPr="00BE2B6D" w:rsidRDefault="0019101E" w:rsidP="00BE2B6D"/>
    <w:sectPr w:rsidR="0019101E" w:rsidRPr="00BE2B6D"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C8747" w14:textId="77777777" w:rsidR="000340CA" w:rsidRDefault="000340CA" w:rsidP="0056790C">
      <w:r>
        <w:separator/>
      </w:r>
    </w:p>
  </w:endnote>
  <w:endnote w:type="continuationSeparator" w:id="0">
    <w:p w14:paraId="382C1073" w14:textId="77777777" w:rsidR="000340CA" w:rsidRDefault="000340C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4117">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A5A2A" w14:textId="77777777" w:rsidR="000340CA" w:rsidRDefault="000340CA" w:rsidP="0056790C">
      <w:r>
        <w:separator/>
      </w:r>
    </w:p>
  </w:footnote>
  <w:footnote w:type="continuationSeparator" w:id="0">
    <w:p w14:paraId="221575D8" w14:textId="77777777" w:rsidR="000340CA" w:rsidRDefault="000340CA"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w:t>
      </w:r>
      <w:proofErr w:type="spellStart"/>
      <w:r w:rsidRPr="00582783">
        <w:rPr>
          <w:sz w:val="16"/>
          <w:szCs w:val="16"/>
        </w:rPr>
        <w:t>va</w:t>
      </w:r>
      <w:proofErr w:type="spellEnd"/>
      <w:r w:rsidRPr="00582783">
        <w:rPr>
          <w:sz w:val="16"/>
          <w:szCs w:val="16"/>
        </w:rPr>
        <w:t xml:space="preserve"> </w:t>
      </w:r>
      <w:proofErr w:type="spellStart"/>
      <w:r w:rsidRPr="00582783">
        <w:rPr>
          <w:sz w:val="16"/>
          <w:szCs w:val="16"/>
        </w:rPr>
        <w:t>completa</w:t>
      </w:r>
      <w:proofErr w:type="spellEnd"/>
      <w:r w:rsidRPr="00582783">
        <w:rPr>
          <w:sz w:val="16"/>
          <w:szCs w:val="16"/>
        </w:rPr>
        <w:t xml:space="preserve"> de </w:t>
      </w:r>
      <w:proofErr w:type="spellStart"/>
      <w:r w:rsidRPr="00582783">
        <w:rPr>
          <w:sz w:val="16"/>
          <w:szCs w:val="16"/>
        </w:rPr>
        <w:t>către</w:t>
      </w:r>
      <w:proofErr w:type="spellEnd"/>
      <w:r w:rsidRPr="00582783">
        <w:rPr>
          <w:sz w:val="16"/>
          <w:szCs w:val="16"/>
        </w:rPr>
        <w:t xml:space="preserve"> </w:t>
      </w:r>
      <w:proofErr w:type="spellStart"/>
      <w:r w:rsidRPr="00582783">
        <w:rPr>
          <w:sz w:val="16"/>
          <w:szCs w:val="16"/>
        </w:rPr>
        <w:t>reprezentantul</w:t>
      </w:r>
      <w:proofErr w:type="spellEnd"/>
      <w:r w:rsidRPr="00582783">
        <w:rPr>
          <w:sz w:val="16"/>
          <w:szCs w:val="16"/>
        </w:rPr>
        <w:t xml:space="preserve"> legal al </w:t>
      </w:r>
      <w:proofErr w:type="spellStart"/>
      <w:r w:rsidRPr="00582783">
        <w:rPr>
          <w:sz w:val="16"/>
          <w:szCs w:val="16"/>
        </w:rPr>
        <w:t>solicitantului</w:t>
      </w:r>
      <w:proofErr w:type="spellEnd"/>
      <w:r>
        <w:rPr>
          <w:sz w:val="16"/>
          <w:szCs w:val="16"/>
        </w:rPr>
        <w:t>/</w:t>
      </w:r>
      <w:proofErr w:type="spellStart"/>
      <w:r>
        <w:rPr>
          <w:sz w:val="16"/>
          <w:szCs w:val="16"/>
        </w:rPr>
        <w:t>partenerului</w:t>
      </w:r>
      <w:proofErr w:type="spellEnd"/>
      <w:r w:rsidRPr="00582783">
        <w:rPr>
          <w:sz w:val="16"/>
          <w:szCs w:val="16"/>
        </w:rPr>
        <w:t xml:space="preserve"> </w:t>
      </w:r>
      <w:proofErr w:type="spellStart"/>
      <w:r w:rsidRPr="00582783">
        <w:rPr>
          <w:sz w:val="16"/>
          <w:szCs w:val="16"/>
        </w:rPr>
        <w:t>sau</w:t>
      </w:r>
      <w:proofErr w:type="spellEnd"/>
      <w:r w:rsidRPr="00582783">
        <w:rPr>
          <w:sz w:val="16"/>
          <w:szCs w:val="16"/>
        </w:rPr>
        <w:t xml:space="preserve"> de </w:t>
      </w:r>
      <w:proofErr w:type="spellStart"/>
      <w:r w:rsidRPr="00582783">
        <w:rPr>
          <w:sz w:val="16"/>
          <w:szCs w:val="16"/>
        </w:rPr>
        <w:t>împuternicit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E0017" w14:textId="77777777" w:rsidR="005F13A0" w:rsidRDefault="005F13A0" w:rsidP="005F13A0">
    <w:pPr>
      <w:ind w:left="1418"/>
      <w:jc w:val="center"/>
      <w:rPr>
        <w:iCs/>
        <w:sz w:val="18"/>
        <w:szCs w:val="18"/>
      </w:rPr>
    </w:pPr>
  </w:p>
  <w:p w14:paraId="75B62860" w14:textId="77777777" w:rsidR="005F13A0" w:rsidRDefault="005F13A0" w:rsidP="005F13A0">
    <w:r>
      <w:rPr>
        <w:lang w:eastAsia="ro-RO"/>
      </w:rPr>
      <mc:AlternateContent>
        <mc:Choice Requires="wps">
          <w:drawing>
            <wp:anchor distT="4294967295" distB="4294967295" distL="114300" distR="114300" simplePos="0" relativeHeight="251659264" behindDoc="0" locked="1" layoutInCell="1" allowOverlap="1" wp14:anchorId="37231142" wp14:editId="5759E8CB">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03A0A"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lang w:eastAsia="ro-RO"/>
      </w:rPr>
      <w:drawing>
        <wp:anchor distT="0" distB="0" distL="114300" distR="114300" simplePos="0" relativeHeight="251660288" behindDoc="0" locked="0" layoutInCell="1" allowOverlap="1" wp14:anchorId="2F448917" wp14:editId="734C0CEC">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61312" behindDoc="0" locked="0" layoutInCell="1" allowOverlap="1" wp14:anchorId="4798A435" wp14:editId="45E0637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62336" behindDoc="1" locked="0" layoutInCell="1" allowOverlap="1" wp14:anchorId="4C53A5E4" wp14:editId="400FEC60">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6837E9A7" w14:textId="77777777" w:rsidR="005F13A0" w:rsidRDefault="005F13A0" w:rsidP="005F13A0"/>
  <w:p w14:paraId="440B9265" w14:textId="77777777" w:rsidR="005F13A0" w:rsidRDefault="005F13A0" w:rsidP="005F13A0">
    <w:pPr>
      <w:ind w:left="1418"/>
      <w:rPr>
        <w:sz w:val="18"/>
        <w:szCs w:val="18"/>
      </w:rPr>
    </w:pPr>
  </w:p>
  <w:p w14:paraId="0AFC07A8" w14:textId="77777777" w:rsidR="005F13A0" w:rsidRDefault="005F13A0" w:rsidP="005F13A0">
    <w:pPr>
      <w:jc w:val="center"/>
      <w:rPr>
        <w:iCs/>
        <w:sz w:val="18"/>
        <w:szCs w:val="18"/>
      </w:rPr>
    </w:pPr>
  </w:p>
  <w:p w14:paraId="01BE7F24" w14:textId="77777777" w:rsidR="005F13A0" w:rsidRDefault="005F13A0" w:rsidP="005F13A0">
    <w:pPr>
      <w:jc w:val="center"/>
      <w:rPr>
        <w:iCs/>
        <w:sz w:val="18"/>
        <w:szCs w:val="18"/>
      </w:rPr>
    </w:pPr>
    <w:r>
      <w:rPr>
        <w:iCs/>
        <w:sz w:val="18"/>
        <w:szCs w:val="18"/>
      </w:rPr>
      <w:t xml:space="preserve">Programul Operaţional Competitivitate 2014–2020 </w:t>
    </w:r>
  </w:p>
  <w:p w14:paraId="04204A05" w14:textId="77777777" w:rsidR="005F13A0" w:rsidRDefault="005F13A0" w:rsidP="005F13A0">
    <w:pPr>
      <w:jc w:val="center"/>
      <w:rPr>
        <w:iCs/>
        <w:sz w:val="18"/>
        <w:szCs w:val="18"/>
        <w:lang w:val="it-IT"/>
      </w:rPr>
    </w:pPr>
    <w:r>
      <w:rPr>
        <w:iCs/>
        <w:sz w:val="18"/>
        <w:szCs w:val="18"/>
        <w:lang w:val="it-IT"/>
      </w:rPr>
      <w:t>– co-finanţat din Fondul European de Dezvoltare Regională –</w:t>
    </w:r>
  </w:p>
  <w:p w14:paraId="65C44F4C" w14:textId="77777777" w:rsidR="005F13A0" w:rsidRPr="006B2BA6" w:rsidRDefault="005F13A0" w:rsidP="005F13A0">
    <w:pPr>
      <w:pStyle w:val="Header"/>
      <w:jc w:val="center"/>
      <w:rPr>
        <w:lang w:val="it-IT"/>
      </w:rPr>
    </w:pPr>
    <w:r>
      <w:rPr>
        <w:iCs/>
        <w:sz w:val="18"/>
        <w:szCs w:val="18"/>
        <w:lang w:val="it-IT"/>
      </w:rPr>
      <w:t>Axa Prioritară 2 – „ Tehnologia informaţiei şi comunicaţiilor (TIC) pentru o economie digitală competitivă”</w:t>
    </w:r>
  </w:p>
  <w:p w14:paraId="476A5353" w14:textId="77777777" w:rsidR="00485712" w:rsidRPr="00950C08" w:rsidRDefault="00485712" w:rsidP="00950C08">
    <w:pPr>
      <w:jc w:val="cent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340CA"/>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87121"/>
    <w:rsid w:val="00394682"/>
    <w:rsid w:val="003967DE"/>
    <w:rsid w:val="003A2C43"/>
    <w:rsid w:val="003B39BE"/>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5D4D-0CBC-4FB2-BAFC-A23EFCA06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1300</Words>
  <Characters>8113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5</cp:revision>
  <cp:lastPrinted>2018-03-13T09:30:00Z</cp:lastPrinted>
  <dcterms:created xsi:type="dcterms:W3CDTF">2018-08-31T10:02:00Z</dcterms:created>
  <dcterms:modified xsi:type="dcterms:W3CDTF">2022-03-29T09:31:00Z</dcterms:modified>
</cp:coreProperties>
</file>